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 2020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SYNTHÈSE Parenté et Marges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Suite à la lecture du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 32 (2019): Aux frontières de la parenté. Un éclairage par les marges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741b47"/>
          <w:sz w:val="24"/>
          <w:szCs w:val="24"/>
          <w:rtl w:val="0"/>
        </w:rPr>
        <w:t xml:space="preserve">Quand parle t-on de marges 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 sociale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 concerne l'expérience de certaines personnes.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Deux sens possibles : comme pratique ou configuration faible sur le plan quantitatif et/ou comme une configuration non conforme à la norme.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 pour Marges : la norme statistique et la norme sociale se recoupent-elles systématiquement ? Avons-nous repéré des pratiques statistiquement peu fréquentes, mais qui correspondent pour autant à la norme sociale ? A l’inverse, a t-on des pratiques statistiquement courantes, mais qui ne correspondent pas à la norme sociale ?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situation sociale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 est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résultat d'une confusion de normes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outil d’analyse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qui permet d’attraper l’expérience de gens qui ne sont pas en conformité totale avec les normes dominantes.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b w:val="1"/>
          <w:color w:val="741b4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41b47"/>
          <w:sz w:val="24"/>
          <w:szCs w:val="24"/>
          <w:rtl w:val="0"/>
        </w:rPr>
        <w:t xml:space="preserve">Un rappel de nos questions centrales :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Que  peut  nous  apprendre  la  question  des  marges  sur  la  parenté  ? / la famille ? 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Comment se construisent les marges ? Comment se construisent les normes ?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color w:val="48536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3) Comment cette notion de marge, ou encore celles de confins, de frontières et de limites sont-elles comprises selon les époques et les espaces géographiques ?</w:t>
      </w:r>
      <w:r w:rsidDel="00000000" w:rsidR="00000000" w:rsidRPr="00000000">
        <w:rPr>
          <w:rFonts w:ascii="Calibri" w:cs="Calibri" w:eastAsia="Calibri" w:hAnsi="Calibri"/>
          <w:b w:val="1"/>
          <w:color w:val="48536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4) Comment les normes et marges évoluent au cour d'un même cycle de vie (ex des évolution de "manière d'agir" des trans) ou de plusieures générations ?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5) Comment sont vécues les marges et comment les pensent on ? frontière ? zone d'incertitude  ? zone de transition ? etc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color w:val="741b4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41b47"/>
          <w:sz w:val="24"/>
          <w:szCs w:val="24"/>
          <w:rtl w:val="0"/>
        </w:rPr>
        <w:t xml:space="preserve">Des précautions pour aborder les marges : 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Calibri" w:cs="Calibri" w:eastAsia="Calibri" w:hAnsi="Calibri"/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rappeler d'où l’on parle (son propre système de valeurs)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Rôle important des scientifiques : la manière dont on parle et dont on aborde un sujet, va influer sur la compréhension que l'on peut en avoir et sur son degré d'acceptabilité sociale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Prendre en compte les dimensions temporelles / historiques pour souligner le caractère évolutif des normes / des marges : quels moyens avons-nous de le faire dans Marges ?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marges ne sont pas toujours synonymes d’exclusion sociale ni soumises à une désapprobation sociale : il y aurait des marges “bien vues” ou pas “mal vues” 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b w:val="1"/>
          <w:color w:val="741b47"/>
        </w:rPr>
      </w:pPr>
      <w:r w:rsidDel="00000000" w:rsidR="00000000" w:rsidRPr="00000000">
        <w:rPr>
          <w:b w:val="1"/>
          <w:color w:val="741b47"/>
          <w:rtl w:val="0"/>
        </w:rPr>
        <w:t xml:space="preserve">Des pistes à explorer : 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Importance de 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aisonner en termes de manières d’agir/modes d’agir, plutôt qu’en termes de statuts. Des manières de faire en fonction des attentes sociales pour amener du mouvement dans l’analyse.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démographie, on utilise les statuts comme des variables explicatives et non pas comme des manières d'agir remises dans des contextes. Piste intéressante à mûrir pour la démographie en particulier. 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Qu’entend-on par famille ?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Pourquoi utilisons-nous "les marges de la famille" plutôt que "les marges de la parenté" dans ? Est-ce que notre positionnement sur le mot "famille" permet de faire ressortir notre pluridisciplinarité ? La partie quantitative ? En somme, est-ce que cela change quelque chose de parler de famille ou de parenté en pratique ? 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des grands objectifs pour Marges : En développant des réflexions autour de maisonnée (Weber), ménage (démographie), apporter notre contribution à la réflexion sur le lien familial et de parenté dans “l'histoire de l'humanité”, pas seulement dans notre contexte d’étude.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contagion symbolique paraît très importante. </w:t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Notion d’exclusion symbolique : opérante quand des personnes, de part leur position sociale, sont exclues du pouvoir de décision dans les familles, ex : les femmes célibataires de 40 ans. 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notion de risque vs. marges comme capacité d’action et espace de puissance : est-ce que la marge permet plus de flexibilité ? Le vécu de l’entre-deux comme vecteur d’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empowerment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? 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dimension spatiale de 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marge. Par exemple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L’expérience du célibat n'est pas la même dans un celibatorium ou dans la cour familiale.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Décomposer la notion d’entourage et en arriver à décrire les réseaux / les relations (voir quel terme on préfère). Notion de “bifurcation” dans les trajectoires de vie à retenir pour éviter le côté linéaire d’une trajectoire ? 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Rôle des émotions (peur, angoisse, colère, dégoût) dans l’activation des marges. Émotions comme “déclencheur du modes d'agir”. 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b w:val="1"/>
          <w:color w:val="741b47"/>
          <w:u w:val="none"/>
        </w:rPr>
      </w:pPr>
      <w:r w:rsidDel="00000000" w:rsidR="00000000" w:rsidRPr="00000000">
        <w:rPr>
          <w:b w:val="1"/>
          <w:color w:val="741b47"/>
          <w:rtl w:val="0"/>
        </w:rPr>
        <w:t xml:space="preserve">Des concepts à travailler 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 Van Gennep, étudie t-on les marges sous l’angle des marges transitoires en rapport avec le cycle de la vie ? 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Référence : Van Gennep, 1991 : la marge est toujours dangereuse, c’est un entre-deux à la fois temporel, spatial et symbolique / synonyme de liminarité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Une critique de l'approche de Van Gennep par Agnès Fine (article 7) : il théorise le lien séparation / marge / agrégation. A. Fine le trouve "piégeant".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Liminarité* ou liminalité : la période intermédiaire entre deux statuts. 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4853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9900"/>
          <w:sz w:val="24"/>
          <w:szCs w:val="24"/>
          <w:rtl w:val="0"/>
        </w:rPr>
        <w:t xml:space="preserve">Définition de la liminalité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Turner (1969)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"permet d'explorer des processus, des espaces de transition entre les normes sociales et les normes institutionnelles et la façon dont les individus tentent, ou non, de s'y réinscrire.</w:t>
      </w:r>
      <w:r w:rsidDel="00000000" w:rsidR="00000000" w:rsidRPr="00000000">
        <w:rPr>
          <w:b w:val="1"/>
          <w:sz w:val="23"/>
          <w:szCs w:val="23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Est-ce que le concept de liminalité est opportun pour nous ? Quels exemples de situations “transitoires” avons-nous à étudier ? 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Exemple : Peut-on dire que le célibat est une situation de liminalité entre les statuts de non-marié.e.s et de marié.e.s ? Qu’est-ce que cela apporte de le voir comme une situation d’entre-deux ? Situation censée être provisoire qui, en durant, déstabilise les normes du passage “normal” entre le non-mariage et le mariage ? 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Autres formulations possibles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marges comme interstice ? comme zone de turbulence ? comme zone limite ? 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jc w:val="both"/>
        <w:rPr>
          <w:rFonts w:ascii="Calibri" w:cs="Calibri" w:eastAsia="Calibri" w:hAnsi="Calibri"/>
          <w:color w:val="48536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Distinction avec “confins” difficile :  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Définition de confins de Mary Douglas (1966) : "C'est un espace d’incertitude situé à la fois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aux frontières extérieures et intérieures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l’ordre social, les confins forment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continuum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 tout à fait en dedans ni tout à fait en dehors de la société”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concept de frontière 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mobilités contribuent à faire bouger/évoluer les frontières et en sont les révélateurs. Concrètement, il faudrait voir comment sont déjà prises en compte (ou non) les dimensions spatiales de la famille dans Marges.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color w:val="48536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Les concepts de maison et de maisonnée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